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ARTES VISUAIS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</w:t>
      </w:r>
    </w:p>
    <w:p w:rsidR="00000000" w:rsidDel="00000000" w:rsidP="00000000" w:rsidRDefault="00000000" w:rsidRPr="00000000">
      <w:pPr>
        <w:ind w:left="3.0708661417322247" w:right="-150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ÃO  (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    ) AVALIAÇÃO E SELEÇÃO DA PROPOSTA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   </w:t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476250</wp:posOffset>
          </wp:positionH>
          <wp:positionV relativeFrom="paragraph">
            <wp:posOffset>190500</wp:posOffset>
          </wp:positionV>
          <wp:extent cx="5739788" cy="425505"/>
          <wp:effectExtent b="0" l="0" r="0" t="0"/>
          <wp:wrapTopAndBottom distB="114300" distT="114300"/>
          <wp:docPr descr="Rodapé Secult [50 anos &amp; Brasão Estado].png" id="1" name="image02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9788" cy="42550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2" name="image03.png"/>
          <a:graphic>
            <a:graphicData uri="http://schemas.openxmlformats.org/drawingml/2006/picture">
              <pic:pic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